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>
      <w:pPr>
        <w:pStyle w:val="Heading1"/>
      </w:pPr>
      <w:r>
        <w:rPr>
          <w:b/>
        </w:rPr>
        <w:t xml:space="preserve">Policy Schedule</w:t>
      </w:r>
    </w:p>
    <w:p>
      <w:r>
        <w:t xml:space="preserve">Policy No: </w:t>
      </w:r>
      <w:r>
        <w:rPr>
          <w:b/>
        </w:rPr>
        <w:t xml:space="preserve">P-2026-0098</w:t>
      </w:r>
    </w:p>
    <w:p>
      <w:r>
        <w:t xml:space="preserve">Insured: </w:t>
      </w:r>
      <w:r>
        <w:rPr>
          <w:b/>
        </w:rPr>
        <w:t xml:space="preserve">Acme Manufacturing Ltd</w:t>
      </w:r>
    </w:p>
    <w:p>
      <w:r>
        <w:t xml:space="preserve"/>
      </w:r>
    </w:p>
    <w:p>
      <w:r>
        <w:t xml:space="preserve">Flood cover: included, up to $5,000,000.</w:t>
      </w:r>
    </w:p>
    <w:p>
      <w:r>
        <w:rPr>
          <w:b/>
        </w:rPr>
        <w:t xml:space="preserve">Covered items: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680"/>
        <w:gridCol w:w="4680"/>
      </w:tblGrid>
      <w:tr>
        <w:tc>
          <w:tcPr>
            <w:tcW w:w="468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4680" w:type="dxa"/>
          </w:tcPr>
          <w:p>
            <w:r>
              <w:rPr>
                <w:b/>
              </w:rPr>
              <w:t xml:space="preserve">Sum insured</w:t>
            </w:r>
          </w:p>
        </w:tc>
      </w:tr>
      <w:tr>
        <w:tc>
          <w:tcPr>
            <w:tcW w:w="4680" w:type="dxa"/>
          </w:tcPr>
          <w:p>
            <w:r>
              <w:t xml:space="preserve">Buildings</w:t>
            </w:r>
          </w:p>
        </w:tc>
        <w:tc>
          <w:tcPr>
            <w:tcW w:w="4680" w:type="dxa"/>
          </w:tcPr>
          <w:p>
            <w:r>
              <w:t xml:space="preserve">$5,000,000</w:t>
            </w:r>
          </w:p>
        </w:tc>
      </w:tr>
      <w:tr>
        <w:tc>
          <w:tcPr>
            <w:tcW w:w="4680" w:type="dxa"/>
          </w:tcPr>
          <w:p>
            <w:r>
              <w:t xml:space="preserve">Contents</w:t>
            </w:r>
          </w:p>
        </w:tc>
        <w:tc>
          <w:tcPr>
            <w:tcW w:w="4680" w:type="dxa"/>
          </w:tcPr>
          <w:p>
            <w:r>
              <w:t xml:space="preserve">$1,200,000</w:t>
            </w:r>
          </w:p>
        </w:tc>
      </w:tr>
      <w:tr>
        <w:tc>
          <w:tcPr>
            <w:tcW w:w="4680" w:type="dxa"/>
          </w:tcPr>
          <w:p>
            <w:r>
              <w:t xml:space="preserve">Business interruption</w:t>
            </w:r>
          </w:p>
        </w:tc>
        <w:tc>
          <w:tcPr>
            <w:tcW w:w="4680" w:type="dxa"/>
          </w:tcPr>
          <w:p>
            <w:r>
              <w:t xml:space="preserve">$800,000</w:t>
            </w:r>
          </w:p>
        </w:tc>
      </w:tr>
    </w:tbl>
    <w:p>
      <w:r>
        <w:t xml:space="preserve"/>
      </w:r>
    </w:p>
    <w:p>
      <w:r>
        <w:rPr>
          <w:b/>
        </w:rPr>
        <w:t xml:space="preserve">PAYMENT OUTSTANDING — please remit $4,320.</w:t>
      </w:r>
    </w:p>
    <w:p>
      <w:r>
        <w:t xml:space="preserve">Generated by mergedocx.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Calibri" w:hAnsi="Calibri"/>
        <w:sz w:val="22"/>
      </w:rPr>
    </w:rPrDefault>
  </w:docDefaults>
  <w:style w:type="paragraph" w:default="1" w:styleId="Normal">
    <w:name w:val="Normal"/>
  </w:style>
  <w:style w:type="paragraph" w:styleId="Heading1">
    <w:name w:val="heading 1"/>
    <w:pPr>
      <w:spacing w:after="120"/>
    </w:pPr>
    <w:rPr>
      <w:b/>
      <w:sz w:val="32"/>
    </w:rPr>
  </w:style>
  <w:style w:type="table" w:styleId="TableGrid">
    <w:name w:val="Table Grid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/Relationships>
</file>