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20" w:line="240" w:lineRule="auto"/>
      </w:pPr>
      <w:r>
        <w:rPr>
          <w:rFonts w:ascii="Arial" w:hAnsi="Arial"/>
          <w:b/>
          <w:i w:val="0"/>
          <w:color w:val="222222"/>
          <w:sz w:val="24"/>
        </w:rPr>
        <w:t>TERMS &amp; CONDITIONS</w:t>
      </w:r>
    </w:p>
    <w:p>
      <w:pPr>
        <w:spacing w:before="0" w:after="60" w:line="252" w:lineRule="auto"/>
        <w:jc w:val="both"/>
      </w:pPr>
      <w:r>
        <w:rPr>
          <w:rFonts w:ascii="Arial" w:hAnsi="Arial"/>
          <w:b/>
          <w:i w:val="0"/>
          <w:sz w:val="16"/>
        </w:rPr>
        <w:t xml:space="preserve">1.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2.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3.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4.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5.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6.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7.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8.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9.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10.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11.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p>
      <w:pPr>
        <w:spacing w:before="0" w:after="60" w:line="252" w:lineRule="auto"/>
        <w:jc w:val="both"/>
      </w:pPr>
      <w:r>
        <w:rPr>
          <w:rFonts w:ascii="Arial" w:hAnsi="Arial"/>
          <w:b/>
          <w:i w:val="0"/>
          <w:sz w:val="16"/>
        </w:rPr>
        <w:t xml:space="preserve">12.  </w:t>
      </w:r>
      <w:r>
        <w:rPr>
          <w:rFonts w:ascii="Arial" w:hAnsi="Arial"/>
          <w:b w:val="0"/>
          <w:i w:val="0"/>
          <w:color w:val="333333"/>
          <w:sz w:val="16"/>
        </w:rPr>
        <w:t xml:space="preserve">The parties agree that all services shall be rendered in accordance with the applicable Statement of Work. Neither party shall be liable for indirect, incidental, or consequential damages. This Agreement constitutes the entire understanding between the parties and supersedes all prior negotiations, representations, and agreements, whether written or oral. Any amendment must be in writing and signed by both parties. </w:t>
      </w:r>
    </w:p>
    <w:sectPr w:rsidR="00FC693F" w:rsidRPr="0006063C" w:rsidSect="00034616">
      <w:pgSz w:w="12240" w:h="15840"/>
      <w:pgMar w:top="720" w:right="720" w:bottom="720" w:left="720" w:header="720" w:footer="720" w:gutter="0"/>
      <w:cols w:space="36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